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870A" w14:textId="77777777" w:rsidR="009F23F0" w:rsidRPr="00F54FD4" w:rsidRDefault="00311319">
      <w:pPr>
        <w:rPr>
          <w:sz w:val="24"/>
          <w:szCs w:val="24"/>
          <w:lang w:val="en-US"/>
        </w:rPr>
      </w:pPr>
      <w:bookmarkStart w:id="0" w:name="_GoBack"/>
      <w:bookmarkEnd w:id="0"/>
      <w:r w:rsidRPr="00F54FD4">
        <w:rPr>
          <w:sz w:val="24"/>
          <w:szCs w:val="24"/>
          <w:lang w:val="en-US"/>
        </w:rPr>
        <w:t xml:space="preserve">Dear </w:t>
      </w:r>
      <w:r w:rsidR="00846ABE">
        <w:rPr>
          <w:sz w:val="24"/>
          <w:szCs w:val="24"/>
          <w:lang w:val="en-US"/>
        </w:rPr>
        <w:t>C</w:t>
      </w:r>
      <w:r w:rsidRPr="00F54FD4">
        <w:rPr>
          <w:sz w:val="24"/>
          <w:szCs w:val="24"/>
          <w:lang w:val="en-US"/>
        </w:rPr>
        <w:t>olleague</w:t>
      </w:r>
      <w:r w:rsidR="00846ABE">
        <w:rPr>
          <w:sz w:val="24"/>
          <w:szCs w:val="24"/>
          <w:lang w:val="en-US"/>
        </w:rPr>
        <w:t>:</w:t>
      </w:r>
    </w:p>
    <w:p w14:paraId="38A42C93" w14:textId="06F47E13" w:rsidR="00846ABE" w:rsidRDefault="00F54FD4" w:rsidP="004A5CE5">
      <w:pPr>
        <w:jc w:val="both"/>
        <w:rPr>
          <w:b/>
          <w:sz w:val="24"/>
          <w:szCs w:val="24"/>
          <w:lang w:val="en-US"/>
        </w:rPr>
      </w:pPr>
      <w:r w:rsidRPr="00F54FD4">
        <w:rPr>
          <w:sz w:val="24"/>
          <w:szCs w:val="24"/>
          <w:lang w:val="en-US"/>
        </w:rPr>
        <w:t>“</w:t>
      </w:r>
      <w:r w:rsidRPr="00F54FD4">
        <w:rPr>
          <w:b/>
          <w:sz w:val="24"/>
          <w:szCs w:val="24"/>
          <w:lang w:val="en-US"/>
        </w:rPr>
        <w:t>To Err is Human? Professional Disciplinary Tribunals: Research and Practice”</w:t>
      </w:r>
    </w:p>
    <w:p w14:paraId="0D4EE81D" w14:textId="52C5E179" w:rsidR="00F54FD4" w:rsidRPr="00F54FD4" w:rsidRDefault="0048347D" w:rsidP="004A5CE5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 w:rsidR="00195DD6">
        <w:rPr>
          <w:b/>
          <w:sz w:val="24"/>
          <w:szCs w:val="24"/>
          <w:lang w:val="en-US"/>
        </w:rPr>
        <w:t xml:space="preserve"> Note for legal professionals: </w:t>
      </w:r>
      <w:r>
        <w:rPr>
          <w:b/>
          <w:sz w:val="24"/>
          <w:szCs w:val="24"/>
          <w:lang w:val="en-US"/>
        </w:rPr>
        <w:t xml:space="preserve">Continuing Professional Development </w:t>
      </w:r>
      <w:r w:rsidR="00846ABE">
        <w:rPr>
          <w:b/>
          <w:sz w:val="24"/>
          <w:szCs w:val="24"/>
          <w:lang w:val="en-US"/>
        </w:rPr>
        <w:t xml:space="preserve">6.5 </w:t>
      </w:r>
      <w:r>
        <w:rPr>
          <w:b/>
          <w:sz w:val="24"/>
          <w:szCs w:val="24"/>
          <w:lang w:val="en-US"/>
        </w:rPr>
        <w:t xml:space="preserve">hours. </w:t>
      </w:r>
    </w:p>
    <w:p w14:paraId="49D6E4C3" w14:textId="1D5D1F65" w:rsidR="00331E45" w:rsidRPr="004A5CE5" w:rsidRDefault="00846ABE" w:rsidP="00331E45">
      <w:p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save the date for this exciting conference. </w:t>
      </w:r>
      <w:r w:rsidR="00331E45" w:rsidRPr="0048347D">
        <w:rPr>
          <w:sz w:val="24"/>
          <w:szCs w:val="24"/>
          <w:lang w:val="en-US"/>
        </w:rPr>
        <w:t xml:space="preserve">Co-hosted by AUT and the University of Otago, the </w:t>
      </w:r>
      <w:r w:rsidR="00331E45">
        <w:rPr>
          <w:sz w:val="24"/>
          <w:szCs w:val="24"/>
          <w:lang w:val="en-US"/>
        </w:rPr>
        <w:t xml:space="preserve">event will be held at </w:t>
      </w:r>
      <w:r w:rsidR="00331E45" w:rsidRPr="004A5CE5">
        <w:rPr>
          <w:b/>
          <w:sz w:val="24"/>
          <w:szCs w:val="24"/>
          <w:lang w:val="en-US"/>
        </w:rPr>
        <w:t xml:space="preserve">AUT’s Auckland City Campus on February 15, 2019. </w:t>
      </w:r>
      <w:r w:rsidR="00331E45">
        <w:rPr>
          <w:b/>
          <w:sz w:val="24"/>
          <w:szCs w:val="24"/>
          <w:lang w:val="en-US"/>
        </w:rPr>
        <w:t xml:space="preserve">Don’t delay: seating is limited. </w:t>
      </w:r>
    </w:p>
    <w:p w14:paraId="272B4973" w14:textId="77777777" w:rsidR="0048347D" w:rsidRDefault="00F54FD4" w:rsidP="004A5CE5">
      <w:pPr>
        <w:jc w:val="both"/>
        <w:rPr>
          <w:sz w:val="24"/>
          <w:szCs w:val="24"/>
          <w:lang w:val="en-US"/>
        </w:rPr>
      </w:pPr>
      <w:r w:rsidRPr="00F54FD4">
        <w:rPr>
          <w:sz w:val="24"/>
          <w:szCs w:val="24"/>
          <w:lang w:val="en-US"/>
        </w:rPr>
        <w:t xml:space="preserve">With </w:t>
      </w:r>
      <w:r w:rsidR="0048347D">
        <w:rPr>
          <w:sz w:val="24"/>
          <w:szCs w:val="24"/>
          <w:lang w:val="en-US"/>
        </w:rPr>
        <w:t xml:space="preserve">the wisdom of </w:t>
      </w:r>
      <w:r w:rsidRPr="00F54FD4">
        <w:rPr>
          <w:sz w:val="24"/>
          <w:szCs w:val="24"/>
          <w:lang w:val="en-US"/>
        </w:rPr>
        <w:t xml:space="preserve">Tribunal Chairs and expert speakers, the conference will illuminate common disciplinary issues across </w:t>
      </w:r>
      <w:r w:rsidRPr="0048347D">
        <w:rPr>
          <w:b/>
          <w:sz w:val="24"/>
          <w:szCs w:val="24"/>
          <w:lang w:val="en-US"/>
        </w:rPr>
        <w:t>health, education and legal professions</w:t>
      </w:r>
      <w:r w:rsidRPr="00F54FD4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14:paraId="42AD7AFF" w14:textId="5F70FBD0" w:rsidR="00F54FD4" w:rsidRDefault="00F54FD4" w:rsidP="004A5CE5">
      <w:pPr>
        <w:jc w:val="both"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  <w:lang w:val="en-US"/>
        </w:rPr>
        <w:t>The</w:t>
      </w:r>
      <w:r w:rsidRPr="00F54FD4">
        <w:rPr>
          <w:sz w:val="24"/>
          <w:szCs w:val="24"/>
          <w:lang w:val="en-US"/>
        </w:rPr>
        <w:t xml:space="preserve"> keynote speech by Professor Bernadette McSherry (</w:t>
      </w:r>
      <w:r w:rsidRPr="00F54FD4">
        <w:rPr>
          <w:rFonts w:cstheme="minorHAnsi"/>
          <w:color w:val="000000"/>
          <w:sz w:val="24"/>
          <w:szCs w:val="24"/>
        </w:rPr>
        <w:t xml:space="preserve">Foundation Director of the Melbourne Social Equity Institute at the University of Melbourne) will address proceedings for mental health and substance use issues with </w:t>
      </w:r>
      <w:r w:rsidR="00195DD6">
        <w:rPr>
          <w:rFonts w:cstheme="minorHAnsi"/>
          <w:color w:val="000000"/>
          <w:sz w:val="24"/>
          <w:szCs w:val="24"/>
        </w:rPr>
        <w:t xml:space="preserve">an international </w:t>
      </w:r>
      <w:proofErr w:type="gramStart"/>
      <w:r w:rsidR="00195DD6">
        <w:rPr>
          <w:rFonts w:cstheme="minorHAnsi"/>
          <w:color w:val="000000"/>
          <w:sz w:val="24"/>
          <w:szCs w:val="24"/>
        </w:rPr>
        <w:t xml:space="preserve">perspectives </w:t>
      </w:r>
      <w:r w:rsidRPr="00F54FD4">
        <w:rPr>
          <w:rFonts w:cstheme="minorHAnsi"/>
          <w:color w:val="000000"/>
          <w:sz w:val="24"/>
          <w:szCs w:val="24"/>
        </w:rPr>
        <w:t xml:space="preserve"> across</w:t>
      </w:r>
      <w:proofErr w:type="gramEnd"/>
      <w:r w:rsidRPr="00F54FD4">
        <w:rPr>
          <w:rFonts w:cstheme="minorHAnsi"/>
          <w:color w:val="000000"/>
          <w:sz w:val="24"/>
          <w:szCs w:val="24"/>
        </w:rPr>
        <w:t xml:space="preserve"> professions. </w:t>
      </w:r>
      <w:r w:rsidR="00846ABE">
        <w:rPr>
          <w:rFonts w:cstheme="minorHAnsi"/>
          <w:color w:val="000000"/>
          <w:sz w:val="24"/>
          <w:szCs w:val="24"/>
        </w:rPr>
        <w:t>Our legal colleagues from New South Wales will be contributing international wisdom.</w:t>
      </w:r>
    </w:p>
    <w:p w14:paraId="145467A6" w14:textId="77777777" w:rsidR="0048347D" w:rsidRDefault="0048347D" w:rsidP="00F54FD4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The conference is dedicated to understanding how these </w:t>
      </w:r>
      <w:r w:rsidR="00846ABE">
        <w:rPr>
          <w:rFonts w:cstheme="minorHAnsi"/>
          <w:color w:val="000000"/>
          <w:sz w:val="24"/>
          <w:szCs w:val="24"/>
        </w:rPr>
        <w:t xml:space="preserve">New Zealand </w:t>
      </w:r>
      <w:r>
        <w:rPr>
          <w:rFonts w:cstheme="minorHAnsi"/>
          <w:color w:val="000000"/>
          <w:sz w:val="24"/>
          <w:szCs w:val="24"/>
        </w:rPr>
        <w:t>tribunals function</w:t>
      </w:r>
      <w:r w:rsidR="00F11800">
        <w:rPr>
          <w:rFonts w:cstheme="minorHAnsi"/>
          <w:color w:val="000000"/>
          <w:sz w:val="24"/>
          <w:szCs w:val="24"/>
        </w:rPr>
        <w:t>:</w:t>
      </w:r>
    </w:p>
    <w:p w14:paraId="05190B13" w14:textId="77777777" w:rsidR="004A5CE5" w:rsidRPr="004A5CE5" w:rsidRDefault="0048347D" w:rsidP="004A5CE5">
      <w:pPr>
        <w:pStyle w:val="ListParagraph"/>
        <w:numPr>
          <w:ilvl w:val="0"/>
          <w:numId w:val="2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4A5CE5">
        <w:rPr>
          <w:rFonts w:cstheme="minorHAnsi"/>
          <w:b/>
          <w:color w:val="000000"/>
          <w:sz w:val="24"/>
          <w:szCs w:val="24"/>
        </w:rPr>
        <w:t>Health Practitioners Disc</w:t>
      </w:r>
      <w:r w:rsidR="004A5CE5">
        <w:rPr>
          <w:rFonts w:cstheme="minorHAnsi"/>
          <w:b/>
          <w:color w:val="000000"/>
          <w:sz w:val="24"/>
          <w:szCs w:val="24"/>
        </w:rPr>
        <w:t>iplinary</w:t>
      </w:r>
      <w:r w:rsidRPr="004A5CE5">
        <w:rPr>
          <w:rFonts w:cstheme="minorHAnsi"/>
          <w:b/>
          <w:color w:val="000000"/>
          <w:sz w:val="24"/>
          <w:szCs w:val="24"/>
        </w:rPr>
        <w:t xml:space="preserve"> Tribunal</w:t>
      </w:r>
    </w:p>
    <w:p w14:paraId="2CCA7B1F" w14:textId="77777777" w:rsidR="004A5CE5" w:rsidRPr="004A5CE5" w:rsidRDefault="0048347D" w:rsidP="004A5CE5">
      <w:pPr>
        <w:pStyle w:val="ListParagraph"/>
        <w:numPr>
          <w:ilvl w:val="0"/>
          <w:numId w:val="2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4A5CE5">
        <w:rPr>
          <w:rFonts w:cstheme="minorHAnsi"/>
          <w:b/>
          <w:color w:val="000000"/>
          <w:sz w:val="24"/>
          <w:szCs w:val="24"/>
        </w:rPr>
        <w:t>Education Council Dis</w:t>
      </w:r>
      <w:r w:rsidR="004A5CE5" w:rsidRPr="004A5CE5">
        <w:rPr>
          <w:rFonts w:cstheme="minorHAnsi"/>
          <w:b/>
          <w:color w:val="000000"/>
          <w:sz w:val="24"/>
          <w:szCs w:val="24"/>
        </w:rPr>
        <w:t>cipli</w:t>
      </w:r>
      <w:r w:rsidR="004A5CE5">
        <w:rPr>
          <w:rFonts w:cstheme="minorHAnsi"/>
          <w:b/>
          <w:color w:val="000000"/>
          <w:sz w:val="24"/>
          <w:szCs w:val="24"/>
        </w:rPr>
        <w:t>nary</w:t>
      </w:r>
      <w:r w:rsidRPr="004A5CE5">
        <w:rPr>
          <w:rFonts w:cstheme="minorHAnsi"/>
          <w:b/>
          <w:color w:val="000000"/>
          <w:sz w:val="24"/>
          <w:szCs w:val="24"/>
        </w:rPr>
        <w:t xml:space="preserve"> Tribunal</w:t>
      </w:r>
    </w:p>
    <w:p w14:paraId="6EE215F9" w14:textId="77777777" w:rsidR="0048347D" w:rsidRPr="004A5CE5" w:rsidRDefault="004A5CE5" w:rsidP="004A5CE5">
      <w:pPr>
        <w:pStyle w:val="ListParagraph"/>
        <w:numPr>
          <w:ilvl w:val="0"/>
          <w:numId w:val="2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4A5CE5">
        <w:rPr>
          <w:rFonts w:cstheme="minorHAnsi"/>
          <w:b/>
          <w:color w:val="000000"/>
          <w:sz w:val="24"/>
          <w:szCs w:val="24"/>
        </w:rPr>
        <w:t>Lawyers</w:t>
      </w:r>
      <w:r w:rsidR="0048347D" w:rsidRPr="004A5CE5">
        <w:rPr>
          <w:rFonts w:cstheme="minorHAnsi"/>
          <w:b/>
          <w:color w:val="000000"/>
          <w:sz w:val="24"/>
          <w:szCs w:val="24"/>
        </w:rPr>
        <w:t xml:space="preserve"> and Conveyance</w:t>
      </w:r>
      <w:r w:rsidRPr="004A5CE5">
        <w:rPr>
          <w:rFonts w:cstheme="minorHAnsi"/>
          <w:b/>
          <w:color w:val="000000"/>
          <w:sz w:val="24"/>
          <w:szCs w:val="24"/>
        </w:rPr>
        <w:t>r</w:t>
      </w:r>
      <w:r w:rsidR="0048347D" w:rsidRPr="004A5CE5">
        <w:rPr>
          <w:rFonts w:cstheme="minorHAnsi"/>
          <w:b/>
          <w:color w:val="000000"/>
          <w:sz w:val="24"/>
          <w:szCs w:val="24"/>
        </w:rPr>
        <w:t xml:space="preserve">s </w:t>
      </w:r>
      <w:r w:rsidRPr="004A5CE5">
        <w:rPr>
          <w:rFonts w:cstheme="minorHAnsi"/>
          <w:b/>
          <w:color w:val="000000"/>
          <w:sz w:val="24"/>
          <w:szCs w:val="24"/>
        </w:rPr>
        <w:t>Disc</w:t>
      </w:r>
      <w:r>
        <w:rPr>
          <w:rFonts w:cstheme="minorHAnsi"/>
          <w:b/>
          <w:color w:val="000000"/>
          <w:sz w:val="24"/>
          <w:szCs w:val="24"/>
        </w:rPr>
        <w:t>i</w:t>
      </w:r>
      <w:r w:rsidRPr="004A5CE5">
        <w:rPr>
          <w:rFonts w:cstheme="minorHAnsi"/>
          <w:b/>
          <w:color w:val="000000"/>
          <w:sz w:val="24"/>
          <w:szCs w:val="24"/>
        </w:rPr>
        <w:t xml:space="preserve">plinary </w:t>
      </w:r>
      <w:r w:rsidR="0048347D" w:rsidRPr="004A5CE5">
        <w:rPr>
          <w:rFonts w:cstheme="minorHAnsi"/>
          <w:b/>
          <w:color w:val="000000"/>
          <w:sz w:val="24"/>
          <w:szCs w:val="24"/>
        </w:rPr>
        <w:t xml:space="preserve">Tribunal </w:t>
      </w:r>
    </w:p>
    <w:p w14:paraId="7271D6C2" w14:textId="77777777" w:rsidR="0048347D" w:rsidRPr="0048347D" w:rsidRDefault="00F54FD4">
      <w:pPr>
        <w:rPr>
          <w:sz w:val="24"/>
          <w:szCs w:val="24"/>
          <w:lang w:val="en-US"/>
        </w:rPr>
      </w:pPr>
      <w:r w:rsidRPr="0048347D">
        <w:rPr>
          <w:sz w:val="24"/>
          <w:szCs w:val="24"/>
          <w:lang w:val="en-US"/>
        </w:rPr>
        <w:t xml:space="preserve">Topics include </w:t>
      </w:r>
    </w:p>
    <w:p w14:paraId="1448C07F" w14:textId="77777777" w:rsidR="0048347D" w:rsidRPr="0048347D" w:rsidRDefault="0048347D" w:rsidP="0048347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8347D">
        <w:rPr>
          <w:sz w:val="24"/>
          <w:szCs w:val="24"/>
          <w:lang w:val="en-US"/>
        </w:rPr>
        <w:t xml:space="preserve">How health and mental health </w:t>
      </w:r>
      <w:r w:rsidR="00846ABE">
        <w:rPr>
          <w:sz w:val="24"/>
          <w:szCs w:val="24"/>
          <w:lang w:val="en-US"/>
        </w:rPr>
        <w:t xml:space="preserve">issues contribute to </w:t>
      </w:r>
      <w:r w:rsidRPr="0048347D">
        <w:rPr>
          <w:sz w:val="24"/>
          <w:szCs w:val="24"/>
          <w:lang w:val="en-US"/>
        </w:rPr>
        <w:t>misconduct</w:t>
      </w:r>
    </w:p>
    <w:p w14:paraId="460D90E4" w14:textId="77777777" w:rsidR="0048347D" w:rsidRPr="0048347D" w:rsidRDefault="0048347D" w:rsidP="0048347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8347D">
        <w:rPr>
          <w:sz w:val="24"/>
          <w:szCs w:val="24"/>
          <w:lang w:val="en-US"/>
        </w:rPr>
        <w:t>Who receives name suppression and why</w:t>
      </w:r>
    </w:p>
    <w:p w14:paraId="117C62FB" w14:textId="77777777" w:rsidR="0048347D" w:rsidRPr="0048347D" w:rsidRDefault="0048347D" w:rsidP="0048347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8347D">
        <w:rPr>
          <w:sz w:val="24"/>
          <w:szCs w:val="24"/>
          <w:lang w:val="en-US"/>
        </w:rPr>
        <w:t>Patterns of misconduct in aged care facilities</w:t>
      </w:r>
    </w:p>
    <w:p w14:paraId="6BEDFD17" w14:textId="77777777" w:rsidR="0048347D" w:rsidRPr="0048347D" w:rsidRDefault="0048347D" w:rsidP="0048347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8347D">
        <w:rPr>
          <w:sz w:val="24"/>
          <w:szCs w:val="24"/>
          <w:lang w:val="en-US"/>
        </w:rPr>
        <w:t>Emerging debates on the Health and Disability Commissioner complaint process</w:t>
      </w:r>
    </w:p>
    <w:p w14:paraId="24134741" w14:textId="1C816D66" w:rsidR="0048347D" w:rsidRPr="0048347D" w:rsidRDefault="00846ABE" w:rsidP="0048347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Practi</w:t>
      </w:r>
      <w:r w:rsidR="00195DD6">
        <w:rPr>
          <w:sz w:val="24"/>
          <w:szCs w:val="24"/>
          <w:lang w:val="en-US"/>
        </w:rPr>
        <w:t>sing</w:t>
      </w:r>
      <w:proofErr w:type="spellEnd"/>
      <w:r>
        <w:rPr>
          <w:sz w:val="24"/>
          <w:szCs w:val="24"/>
          <w:lang w:val="en-US"/>
        </w:rPr>
        <w:t xml:space="preserve"> lawyers’ insights</w:t>
      </w:r>
    </w:p>
    <w:p w14:paraId="12A151AC" w14:textId="77777777" w:rsidR="0048347D" w:rsidRDefault="0048347D" w:rsidP="0048347D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8347D">
        <w:rPr>
          <w:sz w:val="24"/>
          <w:szCs w:val="24"/>
          <w:lang w:val="en-US"/>
        </w:rPr>
        <w:t>International research on</w:t>
      </w:r>
      <w:r>
        <w:rPr>
          <w:sz w:val="24"/>
          <w:szCs w:val="24"/>
          <w:lang w:val="en-US"/>
        </w:rPr>
        <w:t xml:space="preserve"> vulnerable clients and vulnerable lawyers</w:t>
      </w:r>
    </w:p>
    <w:p w14:paraId="5729D671" w14:textId="10EE0494" w:rsidR="007B5888" w:rsidRPr="0048347D" w:rsidRDefault="004A5CE5" w:rsidP="0048347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insights will be informative for Tribunal members, </w:t>
      </w:r>
      <w:r w:rsidR="00311319" w:rsidRPr="0048347D">
        <w:rPr>
          <w:sz w:val="24"/>
          <w:szCs w:val="24"/>
          <w:lang w:val="en-US"/>
        </w:rPr>
        <w:t xml:space="preserve">regulatory authorities, </w:t>
      </w:r>
      <w:r>
        <w:rPr>
          <w:sz w:val="24"/>
          <w:szCs w:val="24"/>
          <w:lang w:val="en-US"/>
        </w:rPr>
        <w:t>and those bodies that regulate the professions. We welcome lawyers, health providers, teachers, academics and students</w:t>
      </w:r>
      <w:r w:rsidR="00F11800">
        <w:rPr>
          <w:sz w:val="24"/>
          <w:szCs w:val="24"/>
          <w:lang w:val="en-US"/>
        </w:rPr>
        <w:t xml:space="preserve"> interested in disciplinary processes)</w:t>
      </w:r>
      <w:r>
        <w:rPr>
          <w:sz w:val="24"/>
          <w:szCs w:val="24"/>
          <w:lang w:val="en-US"/>
        </w:rPr>
        <w:t xml:space="preserve">. By sharing knowledge across Tribunals, we aim to foster meaningful research with impact. </w:t>
      </w:r>
      <w:r w:rsidR="003C7200" w:rsidRPr="0048347D">
        <w:rPr>
          <w:sz w:val="24"/>
          <w:szCs w:val="24"/>
          <w:lang w:val="en-US"/>
        </w:rPr>
        <w:t xml:space="preserve"> </w:t>
      </w:r>
      <w:r w:rsidR="007B5888" w:rsidRPr="0048347D">
        <w:rPr>
          <w:sz w:val="24"/>
          <w:szCs w:val="24"/>
          <w:lang w:val="en-US"/>
        </w:rPr>
        <w:t xml:space="preserve">  </w:t>
      </w:r>
    </w:p>
    <w:p w14:paraId="7B149A71" w14:textId="36D33B60" w:rsidR="004A5CE5" w:rsidRDefault="004A5CE5">
      <w:pPr>
        <w:rPr>
          <w:sz w:val="24"/>
          <w:szCs w:val="24"/>
          <w:lang w:val="en-US"/>
        </w:rPr>
      </w:pPr>
      <w:r w:rsidRPr="004A5CE5">
        <w:rPr>
          <w:sz w:val="24"/>
          <w:szCs w:val="24"/>
          <w:lang w:val="en-US"/>
        </w:rPr>
        <w:t xml:space="preserve">Please do share this invitation and we </w:t>
      </w:r>
      <w:r w:rsidR="007B5888" w:rsidRPr="004A5CE5">
        <w:rPr>
          <w:sz w:val="24"/>
          <w:szCs w:val="24"/>
          <w:lang w:val="en-US"/>
        </w:rPr>
        <w:t xml:space="preserve">look forward to </w:t>
      </w:r>
      <w:r w:rsidRPr="004A5CE5">
        <w:rPr>
          <w:sz w:val="24"/>
          <w:szCs w:val="24"/>
          <w:lang w:val="en-US"/>
        </w:rPr>
        <w:t>meeting you at this dynamic event.</w:t>
      </w:r>
    </w:p>
    <w:tbl>
      <w:tblPr>
        <w:tblStyle w:val="TableGrid"/>
        <w:tblpPr w:leftFromText="180" w:rightFromText="180" w:vertAnchor="text" w:horzAnchor="margin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111"/>
        <w:gridCol w:w="2495"/>
      </w:tblGrid>
      <w:tr w:rsidR="00CB6CBA" w14:paraId="2F81DBA4" w14:textId="77777777" w:rsidTr="00CB6CBA">
        <w:trPr>
          <w:trHeight w:val="1183"/>
        </w:trPr>
        <w:tc>
          <w:tcPr>
            <w:tcW w:w="2410" w:type="dxa"/>
            <w:shd w:val="clear" w:color="auto" w:fill="auto"/>
          </w:tcPr>
          <w:p w14:paraId="363069C8" w14:textId="77777777" w:rsidR="00CB6CBA" w:rsidRDefault="00CB6CBA" w:rsidP="00CB6CBA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60288" behindDoc="0" locked="0" layoutInCell="1" allowOverlap="1" wp14:anchorId="23D3FF7E" wp14:editId="16FD413E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162560</wp:posOffset>
                  </wp:positionV>
                  <wp:extent cx="1171575" cy="304165"/>
                  <wp:effectExtent l="0" t="0" r="9525" b="635"/>
                  <wp:wrapSquare wrapText="bothSides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Professor Kate Diesfeld</w:t>
            </w:r>
          </w:p>
        </w:tc>
        <w:tc>
          <w:tcPr>
            <w:tcW w:w="4111" w:type="dxa"/>
            <w:shd w:val="clear" w:color="auto" w:fill="auto"/>
          </w:tcPr>
          <w:p w14:paraId="7A5700B5" w14:textId="77777777" w:rsidR="00CB6CBA" w:rsidRDefault="00CB6CBA" w:rsidP="00CB6CBA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61312" behindDoc="0" locked="0" layoutInCell="1" allowOverlap="1" wp14:anchorId="0CBCB168" wp14:editId="3DEE9A01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136185</wp:posOffset>
                  </wp:positionV>
                  <wp:extent cx="1014095" cy="39624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is' signatu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C324E6" w14:textId="77777777" w:rsidR="00CB6CBA" w:rsidRDefault="00CB6CBA" w:rsidP="00CB6CBA">
            <w:pPr>
              <w:rPr>
                <w:sz w:val="24"/>
                <w:szCs w:val="24"/>
                <w:lang w:val="en-US"/>
              </w:rPr>
            </w:pPr>
          </w:p>
          <w:p w14:paraId="376B8337" w14:textId="77777777" w:rsidR="00CB6CBA" w:rsidRDefault="00CB6CBA" w:rsidP="00CB6CBA">
            <w:pPr>
              <w:rPr>
                <w:sz w:val="24"/>
                <w:szCs w:val="24"/>
                <w:lang w:val="en-US"/>
              </w:rPr>
            </w:pPr>
          </w:p>
          <w:p w14:paraId="3295B1F8" w14:textId="77777777" w:rsidR="00CB6CBA" w:rsidRDefault="00CB6CBA" w:rsidP="00CB6C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Associate </w:t>
            </w:r>
            <w:proofErr w:type="gramStart"/>
            <w:r>
              <w:rPr>
                <w:lang w:val="en-US"/>
              </w:rPr>
              <w:t>Professor  Lois</w:t>
            </w:r>
            <w:proofErr w:type="gramEnd"/>
            <w:r>
              <w:rPr>
                <w:lang w:val="en-US"/>
              </w:rPr>
              <w:t xml:space="preserve"> Surgenor</w:t>
            </w:r>
          </w:p>
          <w:p w14:paraId="33D93A88" w14:textId="77777777" w:rsidR="00CB6CBA" w:rsidRDefault="00CB6CBA" w:rsidP="00CB6C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95" w:type="dxa"/>
            <w:shd w:val="clear" w:color="auto" w:fill="auto"/>
          </w:tcPr>
          <w:p w14:paraId="2FA7392A" w14:textId="77777777" w:rsidR="00CB6CBA" w:rsidRDefault="00CB6CBA" w:rsidP="00CB6CBA">
            <w:pPr>
              <w:rPr>
                <w:lang w:val="en-US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59264" behindDoc="0" locked="0" layoutInCell="1" allowOverlap="1" wp14:anchorId="0596ED30" wp14:editId="0A15EF3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246380</wp:posOffset>
                  </wp:positionV>
                  <wp:extent cx="1144270" cy="320040"/>
                  <wp:effectExtent l="0" t="0" r="0" b="381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dpis_peln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7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48DE38" w14:textId="77777777" w:rsidR="00CB6CBA" w:rsidRDefault="00CB6CBA" w:rsidP="00CB6CBA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Dr Marta Rychert </w:t>
            </w:r>
          </w:p>
        </w:tc>
      </w:tr>
    </w:tbl>
    <w:p w14:paraId="25AA4B33" w14:textId="6764DBCF" w:rsidR="00311319" w:rsidRPr="00311319" w:rsidRDefault="00311319" w:rsidP="00CB6CBA">
      <w:pPr>
        <w:rPr>
          <w:lang w:val="en-US"/>
        </w:rPr>
      </w:pPr>
    </w:p>
    <w:sectPr w:rsidR="00311319" w:rsidRPr="00311319" w:rsidSect="00CB6CBA">
      <w:headerReference w:type="default" r:id="rId10"/>
      <w:pgSz w:w="11906" w:h="16838"/>
      <w:pgMar w:top="1440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AE4F8" w14:textId="77777777" w:rsidR="000258A1" w:rsidRDefault="000258A1" w:rsidP="00CB6CBA">
      <w:pPr>
        <w:spacing w:after="0" w:line="240" w:lineRule="auto"/>
      </w:pPr>
      <w:r>
        <w:separator/>
      </w:r>
    </w:p>
  </w:endnote>
  <w:endnote w:type="continuationSeparator" w:id="0">
    <w:p w14:paraId="087EB146" w14:textId="77777777" w:rsidR="000258A1" w:rsidRDefault="000258A1" w:rsidP="00CB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61D9A" w14:textId="77777777" w:rsidR="000258A1" w:rsidRDefault="000258A1" w:rsidP="00CB6CBA">
      <w:pPr>
        <w:spacing w:after="0" w:line="240" w:lineRule="auto"/>
      </w:pPr>
      <w:r>
        <w:separator/>
      </w:r>
    </w:p>
  </w:footnote>
  <w:footnote w:type="continuationSeparator" w:id="0">
    <w:p w14:paraId="243C706E" w14:textId="77777777" w:rsidR="000258A1" w:rsidRDefault="000258A1" w:rsidP="00CB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8AD0C" w14:textId="0B5FB19C" w:rsidR="00CB6CBA" w:rsidRDefault="00CB6CBA">
    <w:pPr>
      <w:pStyle w:val="Header"/>
    </w:pPr>
    <w:r>
      <w:rPr>
        <w:noProof/>
        <w:lang w:eastAsia="en-NZ"/>
      </w:rPr>
      <w:drawing>
        <wp:inline distT="0" distB="0" distL="0" distR="0" wp14:anchorId="05B18595" wp14:editId="66F67CEE">
          <wp:extent cx="5731510" cy="1871980"/>
          <wp:effectExtent l="0" t="0" r="254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C19 Banner 1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87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2D68F0" w14:textId="77777777" w:rsidR="00CB6CBA" w:rsidRDefault="00CB6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4BB7"/>
    <w:multiLevelType w:val="hybridMultilevel"/>
    <w:tmpl w:val="D004C0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16129"/>
    <w:multiLevelType w:val="hybridMultilevel"/>
    <w:tmpl w:val="6B7603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19"/>
    <w:rsid w:val="000258A1"/>
    <w:rsid w:val="00195DD6"/>
    <w:rsid w:val="00311319"/>
    <w:rsid w:val="00331E45"/>
    <w:rsid w:val="003C7200"/>
    <w:rsid w:val="0048347D"/>
    <w:rsid w:val="004A5CE5"/>
    <w:rsid w:val="007965DE"/>
    <w:rsid w:val="007B5888"/>
    <w:rsid w:val="00846ABE"/>
    <w:rsid w:val="008707EF"/>
    <w:rsid w:val="009F23F0"/>
    <w:rsid w:val="00B6717F"/>
    <w:rsid w:val="00B7253D"/>
    <w:rsid w:val="00B920DE"/>
    <w:rsid w:val="00C95C47"/>
    <w:rsid w:val="00CB6CBA"/>
    <w:rsid w:val="00E05529"/>
    <w:rsid w:val="00EF40FC"/>
    <w:rsid w:val="00F11800"/>
    <w:rsid w:val="00F5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E5C29"/>
  <w15:chartTrackingRefBased/>
  <w15:docId w15:val="{B51AB3B4-302B-4DA3-A572-921769A2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1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8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18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6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CBA"/>
  </w:style>
  <w:style w:type="paragraph" w:styleId="Footer">
    <w:name w:val="footer"/>
    <w:basedOn w:val="Normal"/>
    <w:link w:val="FooterChar"/>
    <w:uiPriority w:val="99"/>
    <w:unhideWhenUsed/>
    <w:rsid w:val="00CB6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CBA"/>
  </w:style>
  <w:style w:type="table" w:styleId="TableGrid">
    <w:name w:val="Table Grid"/>
    <w:basedOn w:val="TableNormal"/>
    <w:uiPriority w:val="39"/>
    <w:rsid w:val="00CB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Surgenor</dc:creator>
  <cp:keywords/>
  <dc:description/>
  <cp:lastModifiedBy>Kate Diesfeld</cp:lastModifiedBy>
  <cp:revision>2</cp:revision>
  <dcterms:created xsi:type="dcterms:W3CDTF">2018-10-10T00:04:00Z</dcterms:created>
  <dcterms:modified xsi:type="dcterms:W3CDTF">2018-10-10T00:04:00Z</dcterms:modified>
</cp:coreProperties>
</file>